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9" w:rsidRPr="00731506" w:rsidRDefault="00EE0FC9" w:rsidP="00EE0FC9">
      <w:pPr>
        <w:rPr>
          <w:rFonts w:ascii="黑体" w:eastAsia="黑体" w:hAnsi="DFKai-SB" w:hint="eastAsia"/>
          <w:b/>
          <w:sz w:val="32"/>
          <w:szCs w:val="32"/>
        </w:rPr>
      </w:pPr>
      <w:r w:rsidRPr="00731506">
        <w:rPr>
          <w:rFonts w:ascii="黑体" w:eastAsia="黑体" w:hAnsi="DFKai-SB" w:hint="eastAsia"/>
          <w:sz w:val="32"/>
          <w:szCs w:val="32"/>
        </w:rPr>
        <w:t>附件1</w:t>
      </w:r>
      <w:r w:rsidRPr="00731506">
        <w:rPr>
          <w:rFonts w:ascii="黑体" w:eastAsia="黑体" w:hAnsi="DFKai-SB" w:hint="eastAsia"/>
          <w:b/>
          <w:sz w:val="32"/>
          <w:szCs w:val="32"/>
        </w:rPr>
        <w:t>：</w:t>
      </w:r>
    </w:p>
    <w:p w:rsidR="00EE0FC9" w:rsidRDefault="00EE0FC9" w:rsidP="00EE0FC9">
      <w:pPr>
        <w:spacing w:line="560" w:lineRule="exact"/>
        <w:rPr>
          <w:rFonts w:ascii="宋体" w:hAnsi="宋体" w:hint="eastAsia"/>
          <w:b/>
          <w:sz w:val="32"/>
          <w:szCs w:val="32"/>
        </w:rPr>
      </w:pPr>
    </w:p>
    <w:p w:rsidR="00EE0FC9" w:rsidRPr="00731506" w:rsidRDefault="00EE0FC9" w:rsidP="00EE0FC9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731506">
        <w:rPr>
          <w:rFonts w:ascii="宋体" w:hAnsi="宋体" w:hint="eastAsia"/>
          <w:b/>
          <w:sz w:val="44"/>
          <w:szCs w:val="44"/>
        </w:rPr>
        <w:t>山东理工大学与台湾高雄大学</w:t>
      </w:r>
      <w:r w:rsidR="008B5AE8">
        <w:rPr>
          <w:rFonts w:ascii="宋体" w:hAnsi="宋体" w:hint="eastAsia"/>
          <w:b/>
          <w:sz w:val="44"/>
          <w:szCs w:val="44"/>
        </w:rPr>
        <w:t>等</w:t>
      </w:r>
      <w:r w:rsidRPr="00731506">
        <w:rPr>
          <w:rFonts w:ascii="宋体" w:hAnsi="宋体" w:hint="eastAsia"/>
          <w:b/>
          <w:sz w:val="44"/>
          <w:szCs w:val="44"/>
        </w:rPr>
        <w:t>高校</w:t>
      </w:r>
    </w:p>
    <w:p w:rsidR="00EE0FC9" w:rsidRPr="00731506" w:rsidRDefault="00EE0FC9" w:rsidP="00EE0FC9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731506">
        <w:rPr>
          <w:rFonts w:ascii="宋体" w:hAnsi="宋体" w:hint="eastAsia"/>
          <w:b/>
          <w:sz w:val="44"/>
          <w:szCs w:val="44"/>
        </w:rPr>
        <w:t>开展“交换生学习项目”实施方案</w:t>
      </w:r>
    </w:p>
    <w:p w:rsidR="00EE0FC9" w:rsidRDefault="00EE0FC9" w:rsidP="00EE0FC9">
      <w:pPr>
        <w:spacing w:line="560" w:lineRule="exact"/>
        <w:rPr>
          <w:rFonts w:hint="eastAsia"/>
          <w:sz w:val="28"/>
          <w:szCs w:val="28"/>
        </w:rPr>
      </w:pPr>
    </w:p>
    <w:p w:rsidR="00EE0FC9" w:rsidRPr="00376B56" w:rsidRDefault="00EE0FC9" w:rsidP="00EE0FC9">
      <w:pPr>
        <w:spacing w:line="560" w:lineRule="exact"/>
        <w:rPr>
          <w:rFonts w:hint="eastAsia"/>
          <w:sz w:val="28"/>
          <w:szCs w:val="28"/>
        </w:rPr>
      </w:pPr>
    </w:p>
    <w:p w:rsidR="00EE0FC9" w:rsidRPr="0013484F" w:rsidRDefault="00EE0FC9" w:rsidP="001B0CDB">
      <w:pPr>
        <w:snapToGrid w:val="0"/>
        <w:spacing w:line="360" w:lineRule="auto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 w:rsidRPr="0013484F">
        <w:rPr>
          <w:rFonts w:ascii="仿宋_GB2312" w:eastAsia="仿宋_GB2312" w:hint="eastAsia"/>
          <w:b/>
          <w:sz w:val="28"/>
          <w:szCs w:val="28"/>
        </w:rPr>
        <w:t>一、项目</w:t>
      </w:r>
      <w:r>
        <w:rPr>
          <w:rFonts w:ascii="仿宋_GB2312" w:eastAsia="仿宋_GB2312" w:hint="eastAsia"/>
          <w:b/>
          <w:sz w:val="28"/>
          <w:szCs w:val="28"/>
        </w:rPr>
        <w:t>宗旨</w:t>
      </w:r>
    </w:p>
    <w:p w:rsidR="00EE0FC9" w:rsidRPr="0013484F" w:rsidRDefault="00EE0FC9" w:rsidP="00EE0FC9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3484F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交换生</w:t>
      </w:r>
      <w:r w:rsidRPr="0013484F">
        <w:rPr>
          <w:rFonts w:ascii="仿宋_GB2312" w:eastAsia="仿宋_GB2312" w:hint="eastAsia"/>
          <w:sz w:val="28"/>
          <w:szCs w:val="28"/>
        </w:rPr>
        <w:t>学习项目”是我校与</w:t>
      </w:r>
      <w:r>
        <w:rPr>
          <w:rFonts w:ascii="仿宋_GB2312" w:eastAsia="仿宋_GB2312" w:hint="eastAsia"/>
          <w:sz w:val="28"/>
          <w:szCs w:val="28"/>
        </w:rPr>
        <w:t>台湾高雄大学等高校</w:t>
      </w:r>
      <w:r w:rsidRPr="0013484F">
        <w:rPr>
          <w:rFonts w:ascii="仿宋_GB2312" w:eastAsia="仿宋_GB2312" w:hint="eastAsia"/>
          <w:sz w:val="28"/>
          <w:szCs w:val="28"/>
        </w:rPr>
        <w:t>开展的针对我校</w:t>
      </w:r>
      <w:r>
        <w:rPr>
          <w:rFonts w:ascii="仿宋_GB2312" w:eastAsia="仿宋_GB2312" w:hint="eastAsia"/>
          <w:sz w:val="28"/>
          <w:szCs w:val="28"/>
        </w:rPr>
        <w:t>普通全日制本科学生的合作项目。该项目对于增进学生海峡两岸政治、经济、文化等方面的了解，丰富学生的教育成长阅历，扩大学生的视野，促进学生今后的学业发展与职业发展具有非常重要的意义。</w:t>
      </w:r>
    </w:p>
    <w:p w:rsidR="00EE0FC9" w:rsidRDefault="00EE0FC9" w:rsidP="001B0CDB">
      <w:pPr>
        <w:snapToGrid w:val="0"/>
        <w:spacing w:line="360" w:lineRule="auto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 w:rsidRPr="0013484F">
        <w:rPr>
          <w:rFonts w:ascii="仿宋_GB2312" w:eastAsia="仿宋_GB2312" w:hint="eastAsia"/>
          <w:b/>
          <w:sz w:val="28"/>
          <w:szCs w:val="28"/>
        </w:rPr>
        <w:t>二、</w:t>
      </w:r>
      <w:r>
        <w:rPr>
          <w:rFonts w:ascii="仿宋_GB2312" w:eastAsia="仿宋_GB2312" w:hint="eastAsia"/>
          <w:b/>
          <w:sz w:val="28"/>
          <w:szCs w:val="28"/>
        </w:rPr>
        <w:t>项目优势</w:t>
      </w:r>
    </w:p>
    <w:p w:rsidR="00EE0FC9" w:rsidRDefault="00EE0FC9" w:rsidP="00EE0FC9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B445E"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文化背景相同，语言相同、</w:t>
      </w:r>
      <w:r w:rsidR="00642E27">
        <w:rPr>
          <w:rFonts w:ascii="仿宋_GB2312" w:eastAsia="仿宋_GB2312" w:hint="eastAsia"/>
          <w:sz w:val="28"/>
          <w:szCs w:val="28"/>
        </w:rPr>
        <w:t>相</w:t>
      </w:r>
      <w:r>
        <w:rPr>
          <w:rFonts w:ascii="仿宋_GB2312" w:eastAsia="仿宋_GB2312" w:hint="eastAsia"/>
          <w:sz w:val="28"/>
          <w:szCs w:val="28"/>
        </w:rPr>
        <w:t>通；</w:t>
      </w:r>
    </w:p>
    <w:p w:rsidR="00EE0FC9" w:rsidRDefault="00EE0FC9" w:rsidP="00EE0FC9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2.互免学费；</w:t>
      </w:r>
    </w:p>
    <w:p w:rsidR="00EE0FC9" w:rsidRPr="003B445E" w:rsidRDefault="00EE0FC9" w:rsidP="00EE0FC9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3.学生可以增进</w:t>
      </w:r>
      <w:r w:rsidR="008B5AE8"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 w:hint="eastAsia"/>
          <w:sz w:val="28"/>
          <w:szCs w:val="28"/>
        </w:rPr>
        <w:t>海峡两岸社会及校园生活、文化的了解。</w:t>
      </w:r>
    </w:p>
    <w:p w:rsidR="00EE0FC9" w:rsidRDefault="00EE0FC9" w:rsidP="001B0CDB">
      <w:pPr>
        <w:snapToGrid w:val="0"/>
        <w:spacing w:line="560" w:lineRule="exact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 w:rsidRPr="004B08B9">
        <w:rPr>
          <w:rFonts w:ascii="仿宋_GB2312" w:eastAsia="仿宋_GB2312" w:hint="eastAsia"/>
          <w:b/>
          <w:sz w:val="28"/>
          <w:szCs w:val="28"/>
        </w:rPr>
        <w:t>三、</w:t>
      </w:r>
      <w:r>
        <w:rPr>
          <w:rFonts w:ascii="仿宋_GB2312" w:eastAsia="仿宋_GB2312" w:hint="eastAsia"/>
          <w:b/>
          <w:sz w:val="28"/>
          <w:szCs w:val="28"/>
        </w:rPr>
        <w:t>台湾高校项目简介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720"/>
        <w:gridCol w:w="3844"/>
        <w:gridCol w:w="1736"/>
      </w:tblGrid>
      <w:tr w:rsidR="00EE0FC9" w:rsidRPr="00642A0C" w:rsidTr="00642A0C">
        <w:tc>
          <w:tcPr>
            <w:tcW w:w="828" w:type="dxa"/>
          </w:tcPr>
          <w:p w:rsidR="00EE0FC9" w:rsidRPr="00642A0C" w:rsidRDefault="00EE0FC9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80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720" w:type="dxa"/>
          </w:tcPr>
          <w:p w:rsidR="00EE0FC9" w:rsidRPr="00642A0C" w:rsidRDefault="00EE0FC9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名额</w:t>
            </w:r>
          </w:p>
        </w:tc>
        <w:tc>
          <w:tcPr>
            <w:tcW w:w="3844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学籍、年级、专业</w:t>
            </w:r>
          </w:p>
        </w:tc>
        <w:tc>
          <w:tcPr>
            <w:tcW w:w="1736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E0FC9" w:rsidRPr="00642A0C" w:rsidTr="00642A0C">
        <w:tc>
          <w:tcPr>
            <w:tcW w:w="828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0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高雄大学</w:t>
            </w:r>
          </w:p>
        </w:tc>
        <w:tc>
          <w:tcPr>
            <w:tcW w:w="720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844" w:type="dxa"/>
          </w:tcPr>
          <w:p w:rsidR="00EE0FC9" w:rsidRPr="00642A0C" w:rsidRDefault="00EE0FC9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具有山东理工大学学籍，全日制本科</w:t>
            </w:r>
            <w:r w:rsidR="005D11A6" w:rsidRPr="00642A0C">
              <w:rPr>
                <w:rFonts w:ascii="仿宋_GB2312" w:eastAsia="仿宋_GB2312" w:hint="eastAsia"/>
                <w:sz w:val="24"/>
              </w:rPr>
              <w:t>二、三</w:t>
            </w:r>
            <w:r w:rsidRPr="00642A0C">
              <w:rPr>
                <w:rFonts w:ascii="仿宋_GB2312" w:eastAsia="仿宋_GB2312" w:hint="eastAsia"/>
                <w:sz w:val="24"/>
              </w:rPr>
              <w:t>年级学生，专业</w:t>
            </w:r>
            <w:r w:rsidR="005D11A6" w:rsidRPr="00642A0C">
              <w:rPr>
                <w:rFonts w:ascii="仿宋_GB2312" w:eastAsia="仿宋_GB2312" w:hint="eastAsia"/>
                <w:sz w:val="24"/>
              </w:rPr>
              <w:t>以台湾高校所设专业为限，插班学习</w:t>
            </w:r>
            <w:r w:rsidRPr="00642A0C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736" w:type="dxa"/>
          </w:tcPr>
          <w:p w:rsidR="00EE0FC9" w:rsidRPr="00642A0C" w:rsidRDefault="008E4701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免交学费，需交住宿费。</w:t>
            </w:r>
          </w:p>
        </w:tc>
      </w:tr>
      <w:tr w:rsidR="00EE0FC9" w:rsidRPr="00642A0C" w:rsidTr="00642A0C">
        <w:trPr>
          <w:trHeight w:val="675"/>
        </w:trPr>
        <w:tc>
          <w:tcPr>
            <w:tcW w:w="828" w:type="dxa"/>
          </w:tcPr>
          <w:p w:rsidR="00EE0FC9" w:rsidRPr="00642A0C" w:rsidRDefault="00EE0FC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0" w:type="dxa"/>
          </w:tcPr>
          <w:p w:rsidR="00EE0FC9" w:rsidRPr="00642A0C" w:rsidRDefault="00786A6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朝阳科技大学</w:t>
            </w:r>
          </w:p>
        </w:tc>
        <w:tc>
          <w:tcPr>
            <w:tcW w:w="720" w:type="dxa"/>
          </w:tcPr>
          <w:p w:rsidR="00EE0FC9" w:rsidRPr="00642A0C" w:rsidRDefault="00786A69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844" w:type="dxa"/>
          </w:tcPr>
          <w:p w:rsidR="00EE0FC9" w:rsidRPr="00642A0C" w:rsidRDefault="00EE0FC9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要求同上</w:t>
            </w:r>
            <w:r w:rsidR="00A470EC" w:rsidRPr="00642A0C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736" w:type="dxa"/>
          </w:tcPr>
          <w:p w:rsidR="00EE0FC9" w:rsidRPr="00642A0C" w:rsidRDefault="008E4701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免交学费和住</w:t>
            </w:r>
            <w:r w:rsidR="00E374AF" w:rsidRPr="00642A0C">
              <w:rPr>
                <w:rFonts w:ascii="仿宋_GB2312" w:eastAsia="仿宋_GB2312" w:hint="eastAsia"/>
                <w:sz w:val="24"/>
              </w:rPr>
              <w:t>宿费。</w:t>
            </w:r>
          </w:p>
        </w:tc>
      </w:tr>
      <w:tr w:rsidR="00E374AF" w:rsidRPr="00642A0C" w:rsidTr="00642A0C">
        <w:trPr>
          <w:trHeight w:val="450"/>
        </w:trPr>
        <w:tc>
          <w:tcPr>
            <w:tcW w:w="828" w:type="dxa"/>
          </w:tcPr>
          <w:p w:rsidR="00E374AF" w:rsidRPr="00642A0C" w:rsidRDefault="00E374AF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E374AF" w:rsidRPr="00642A0C" w:rsidRDefault="00E374AF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义守大学</w:t>
            </w:r>
          </w:p>
        </w:tc>
        <w:tc>
          <w:tcPr>
            <w:tcW w:w="720" w:type="dxa"/>
          </w:tcPr>
          <w:p w:rsidR="00E374AF" w:rsidRPr="00642A0C" w:rsidRDefault="00E374AF" w:rsidP="00642A0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844" w:type="dxa"/>
          </w:tcPr>
          <w:p w:rsidR="00E374AF" w:rsidRPr="00642A0C" w:rsidRDefault="00E374AF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要求同上。</w:t>
            </w:r>
          </w:p>
        </w:tc>
        <w:tc>
          <w:tcPr>
            <w:tcW w:w="1736" w:type="dxa"/>
          </w:tcPr>
          <w:p w:rsidR="00E374AF" w:rsidRPr="00642A0C" w:rsidRDefault="00E374AF" w:rsidP="00642A0C">
            <w:pPr>
              <w:snapToGrid w:val="0"/>
              <w:spacing w:line="560" w:lineRule="exact"/>
              <w:rPr>
                <w:rFonts w:ascii="仿宋_GB2312" w:eastAsia="仿宋_GB2312" w:hint="eastAsia"/>
                <w:sz w:val="24"/>
              </w:rPr>
            </w:pPr>
            <w:r w:rsidRPr="00642A0C">
              <w:rPr>
                <w:rFonts w:ascii="仿宋_GB2312" w:eastAsia="仿宋_GB2312" w:hint="eastAsia"/>
                <w:sz w:val="24"/>
              </w:rPr>
              <w:t>免交学费，需交住宿费。</w:t>
            </w:r>
          </w:p>
        </w:tc>
      </w:tr>
    </w:tbl>
    <w:p w:rsidR="00EE0FC9" w:rsidRPr="004B08B9" w:rsidRDefault="00EE0FC9" w:rsidP="001B0CDB">
      <w:pPr>
        <w:snapToGrid w:val="0"/>
        <w:spacing w:line="560" w:lineRule="exact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四、我校学生</w:t>
      </w:r>
      <w:r w:rsidRPr="004B08B9">
        <w:rPr>
          <w:rFonts w:ascii="仿宋_GB2312" w:eastAsia="仿宋_GB2312" w:hint="eastAsia"/>
          <w:b/>
          <w:sz w:val="28"/>
          <w:szCs w:val="28"/>
        </w:rPr>
        <w:t>报名条件</w:t>
      </w:r>
    </w:p>
    <w:p w:rsidR="00EE0FC9" w:rsidRDefault="00EE0FC9" w:rsidP="00EE0FC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779C1">
        <w:rPr>
          <w:rFonts w:ascii="仿宋_GB2312" w:eastAsia="仿宋_GB2312" w:hint="eastAsia"/>
          <w:sz w:val="28"/>
          <w:szCs w:val="28"/>
        </w:rPr>
        <w:t>.</w:t>
      </w:r>
      <w:r w:rsidRPr="00D47480">
        <w:rPr>
          <w:rFonts w:ascii="仿宋_GB2312" w:eastAsia="仿宋_GB2312" w:hint="eastAsia"/>
          <w:color w:val="000000"/>
          <w:sz w:val="28"/>
          <w:szCs w:val="28"/>
        </w:rPr>
        <w:t>品行端正，</w:t>
      </w:r>
      <w:r>
        <w:rPr>
          <w:rFonts w:ascii="仿宋_GB2312" w:eastAsia="仿宋_GB2312" w:hint="eastAsia"/>
          <w:color w:val="000000"/>
          <w:sz w:val="28"/>
          <w:szCs w:val="28"/>
        </w:rPr>
        <w:t>无违纪行为记录，身体健康</w:t>
      </w:r>
      <w:r w:rsidR="00935CA4">
        <w:rPr>
          <w:rFonts w:ascii="仿宋_GB2312" w:eastAsia="仿宋_GB2312" w:hint="eastAsia"/>
          <w:color w:val="000000"/>
          <w:sz w:val="28"/>
          <w:szCs w:val="28"/>
        </w:rPr>
        <w:t>，综合素质高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EE0FC9" w:rsidRDefault="00EE0FC9" w:rsidP="00EE0FC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D57A7">
        <w:rPr>
          <w:rFonts w:ascii="仿宋_GB2312" w:eastAsia="仿宋_GB2312" w:hint="eastAsia"/>
          <w:sz w:val="28"/>
          <w:szCs w:val="28"/>
        </w:rPr>
        <w:t>2</w:t>
      </w:r>
      <w:r w:rsidR="00D779C1">
        <w:rPr>
          <w:rFonts w:ascii="仿宋_GB2312" w:eastAsia="仿宋_GB2312" w:hint="eastAsia"/>
          <w:sz w:val="28"/>
          <w:szCs w:val="28"/>
        </w:rPr>
        <w:t>.</w:t>
      </w:r>
      <w:r w:rsidRPr="0013484F">
        <w:rPr>
          <w:rFonts w:ascii="仿宋_GB2312" w:eastAsia="仿宋_GB2312" w:hint="eastAsia"/>
          <w:sz w:val="28"/>
          <w:szCs w:val="28"/>
        </w:rPr>
        <w:t>专业成绩优良，GPA</w:t>
      </w:r>
      <w:r>
        <w:rPr>
          <w:rFonts w:ascii="仿宋_GB2312" w:eastAsia="仿宋_GB2312" w:hint="eastAsia"/>
          <w:sz w:val="28"/>
          <w:szCs w:val="28"/>
        </w:rPr>
        <w:t>（平均学分绩点）</w:t>
      </w:r>
      <w:r w:rsidRPr="0013484F">
        <w:rPr>
          <w:rFonts w:ascii="仿宋_GB2312" w:eastAsia="仿宋_GB2312" w:hint="eastAsia"/>
          <w:sz w:val="28"/>
          <w:szCs w:val="28"/>
        </w:rPr>
        <w:t>≥3.</w:t>
      </w:r>
      <w:r>
        <w:rPr>
          <w:rFonts w:ascii="仿宋_GB2312" w:eastAsia="仿宋_GB2312" w:hint="eastAsia"/>
          <w:sz w:val="28"/>
          <w:szCs w:val="28"/>
        </w:rPr>
        <w:t>0</w:t>
      </w:r>
      <w:r w:rsidRPr="0013484F">
        <w:rPr>
          <w:rFonts w:ascii="仿宋_GB2312" w:eastAsia="仿宋_GB2312" w:hint="eastAsia"/>
          <w:sz w:val="28"/>
          <w:szCs w:val="28"/>
        </w:rPr>
        <w:t>。</w:t>
      </w:r>
    </w:p>
    <w:p w:rsidR="00EE0FC9" w:rsidRDefault="00EE0FC9" w:rsidP="001B0CDB">
      <w:pPr>
        <w:spacing w:line="360" w:lineRule="auto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 w:rsidRPr="00661A8C">
        <w:rPr>
          <w:rFonts w:ascii="仿宋_GB2312" w:eastAsia="仿宋_GB2312" w:hint="eastAsia"/>
          <w:b/>
          <w:sz w:val="28"/>
          <w:szCs w:val="28"/>
        </w:rPr>
        <w:t>绩点--成绩对应关系表</w:t>
      </w:r>
      <w:r w:rsidR="008E5544">
        <w:rPr>
          <w:rFonts w:ascii="仿宋_GB2312" w:eastAsia="仿宋_GB2312" w:hint="eastAsia"/>
          <w:b/>
          <w:sz w:val="28"/>
          <w:szCs w:val="28"/>
        </w:rPr>
        <w:t>：</w:t>
      </w:r>
    </w:p>
    <w:p w:rsidR="00EE0FC9" w:rsidRPr="00661A8C" w:rsidRDefault="001B0CDB" w:rsidP="00EE0FC9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5648325" cy="1647825"/>
            <wp:effectExtent l="19050" t="0" r="9525" b="0"/>
            <wp:docPr id="1" name="图片 1" descr="2013120211213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12021121334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C9" w:rsidRDefault="00EE0FC9" w:rsidP="00EE0FC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779C1">
        <w:rPr>
          <w:rFonts w:ascii="仿宋_GB2312" w:eastAsia="仿宋_GB2312" w:hint="eastAsia"/>
          <w:sz w:val="28"/>
          <w:szCs w:val="28"/>
        </w:rPr>
        <w:t>.</w:t>
      </w:r>
      <w:r w:rsidRPr="00997C08">
        <w:rPr>
          <w:rFonts w:ascii="仿宋_GB2312" w:eastAsia="仿宋_GB2312" w:hint="eastAsia"/>
          <w:sz w:val="28"/>
          <w:szCs w:val="28"/>
        </w:rPr>
        <w:t>有良好的</w:t>
      </w:r>
      <w:r>
        <w:rPr>
          <w:rFonts w:ascii="仿宋_GB2312" w:eastAsia="仿宋_GB2312" w:hint="eastAsia"/>
          <w:sz w:val="28"/>
          <w:szCs w:val="28"/>
        </w:rPr>
        <w:t>海</w:t>
      </w:r>
      <w:r w:rsidRPr="00997C08">
        <w:rPr>
          <w:rFonts w:ascii="仿宋_GB2312" w:eastAsia="仿宋_GB2312" w:hint="eastAsia"/>
          <w:sz w:val="28"/>
          <w:szCs w:val="28"/>
        </w:rPr>
        <w:t>外学习适应能力和</w:t>
      </w:r>
      <w:r>
        <w:rPr>
          <w:rFonts w:ascii="仿宋_GB2312" w:eastAsia="仿宋_GB2312" w:hint="eastAsia"/>
          <w:sz w:val="28"/>
          <w:szCs w:val="28"/>
        </w:rPr>
        <w:t>一定的家庭</w:t>
      </w:r>
      <w:r w:rsidRPr="00997C08">
        <w:rPr>
          <w:rFonts w:ascii="仿宋_GB2312" w:eastAsia="仿宋_GB2312" w:hint="eastAsia"/>
          <w:sz w:val="28"/>
          <w:szCs w:val="28"/>
        </w:rPr>
        <w:t>经济负担能力。</w:t>
      </w:r>
    </w:p>
    <w:p w:rsidR="00EE0FC9" w:rsidRPr="00D7429E" w:rsidRDefault="00EE0FC9" w:rsidP="001B0CDB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Pr="00E26CCF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学生</w:t>
      </w:r>
      <w:r w:rsidRPr="00E26CCF">
        <w:rPr>
          <w:rFonts w:ascii="仿宋_GB2312" w:eastAsia="仿宋_GB2312" w:hint="eastAsia"/>
          <w:b/>
          <w:sz w:val="28"/>
          <w:szCs w:val="28"/>
        </w:rPr>
        <w:t>报名材料</w:t>
      </w:r>
    </w:p>
    <w:p w:rsidR="00CC63C2" w:rsidRPr="00E0773E" w:rsidRDefault="00CC63C2" w:rsidP="00CC63C2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0773E">
        <w:rPr>
          <w:rFonts w:ascii="仿宋_GB2312" w:eastAsia="仿宋_GB2312" w:hint="eastAsia"/>
          <w:sz w:val="28"/>
          <w:szCs w:val="28"/>
        </w:rPr>
        <w:t>山东理工大学交换生</w:t>
      </w:r>
      <w:r>
        <w:rPr>
          <w:rFonts w:ascii="仿宋_GB2312" w:eastAsia="仿宋_GB2312" w:hint="eastAsia"/>
          <w:sz w:val="28"/>
          <w:szCs w:val="28"/>
        </w:rPr>
        <w:t>学习</w:t>
      </w:r>
      <w:r w:rsidRPr="00E0773E">
        <w:rPr>
          <w:rFonts w:ascii="仿宋_GB2312" w:eastAsia="仿宋_GB2312" w:hint="eastAsia"/>
          <w:sz w:val="28"/>
          <w:szCs w:val="28"/>
        </w:rPr>
        <w:t>项目申请表</w:t>
      </w:r>
      <w:r>
        <w:rPr>
          <w:rFonts w:ascii="仿宋_GB2312" w:eastAsia="仿宋_GB2312" w:hint="eastAsia"/>
          <w:sz w:val="28"/>
          <w:szCs w:val="28"/>
        </w:rPr>
        <w:t>、申请学生报名表。</w:t>
      </w:r>
    </w:p>
    <w:p w:rsidR="00EE0FC9" w:rsidRDefault="00EE0FC9" w:rsidP="001B0CDB">
      <w:pPr>
        <w:snapToGrid w:val="0"/>
        <w:spacing w:line="560" w:lineRule="exact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</w:t>
      </w:r>
      <w:r w:rsidRPr="0013484F">
        <w:rPr>
          <w:rFonts w:ascii="仿宋_GB2312" w:eastAsia="仿宋_GB2312" w:hint="eastAsia"/>
          <w:b/>
          <w:sz w:val="28"/>
          <w:szCs w:val="28"/>
        </w:rPr>
        <w:t>费用</w:t>
      </w:r>
    </w:p>
    <w:p w:rsidR="00EE0FC9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779C1">
        <w:rPr>
          <w:rFonts w:ascii="仿宋_GB2312" w:eastAsia="仿宋_GB2312" w:hint="eastAsia"/>
          <w:sz w:val="28"/>
          <w:szCs w:val="28"/>
        </w:rPr>
        <w:t>.</w:t>
      </w:r>
      <w:r w:rsidR="00A470EC">
        <w:rPr>
          <w:rFonts w:ascii="仿宋_GB2312" w:eastAsia="仿宋_GB2312" w:hint="eastAsia"/>
          <w:sz w:val="28"/>
          <w:szCs w:val="28"/>
        </w:rPr>
        <w:t>申请朝阳科技大学的</w:t>
      </w:r>
      <w:r w:rsidRPr="004D7705">
        <w:rPr>
          <w:rFonts w:ascii="仿宋_GB2312" w:eastAsia="仿宋_GB2312" w:hint="eastAsia"/>
          <w:sz w:val="28"/>
          <w:szCs w:val="28"/>
        </w:rPr>
        <w:t>学生</w:t>
      </w:r>
      <w:r w:rsidR="00140159">
        <w:rPr>
          <w:rFonts w:ascii="仿宋_GB2312" w:eastAsia="仿宋_GB2312" w:hint="eastAsia"/>
          <w:sz w:val="28"/>
          <w:szCs w:val="28"/>
        </w:rPr>
        <w:t>需</w:t>
      </w:r>
      <w:r w:rsidRPr="004D7705">
        <w:rPr>
          <w:rFonts w:ascii="仿宋_GB2312" w:eastAsia="仿宋_GB2312" w:hint="eastAsia"/>
          <w:sz w:val="28"/>
          <w:szCs w:val="28"/>
        </w:rPr>
        <w:t>在</w:t>
      </w:r>
      <w:r w:rsidR="00A470EC">
        <w:rPr>
          <w:rFonts w:ascii="仿宋_GB2312" w:eastAsia="仿宋_GB2312" w:hint="eastAsia"/>
          <w:sz w:val="28"/>
          <w:szCs w:val="28"/>
        </w:rPr>
        <w:t>我校</w:t>
      </w:r>
      <w:r w:rsidRPr="004D7705">
        <w:rPr>
          <w:rFonts w:ascii="仿宋_GB2312" w:eastAsia="仿宋_GB2312" w:hint="eastAsia"/>
          <w:sz w:val="28"/>
          <w:szCs w:val="28"/>
        </w:rPr>
        <w:t>注册及交纳学费</w:t>
      </w:r>
      <w:r w:rsidRPr="00140159">
        <w:rPr>
          <w:rFonts w:ascii="仿宋_GB2312" w:eastAsia="仿宋_GB2312" w:hint="eastAsia"/>
          <w:sz w:val="28"/>
          <w:szCs w:val="28"/>
        </w:rPr>
        <w:t>、住宿费，</w:t>
      </w:r>
      <w:r w:rsidRPr="004D7705">
        <w:rPr>
          <w:rFonts w:ascii="仿宋_GB2312" w:eastAsia="仿宋_GB2312" w:hint="eastAsia"/>
          <w:sz w:val="28"/>
          <w:szCs w:val="28"/>
        </w:rPr>
        <w:t>无需再交纳对方学校的学费</w:t>
      </w:r>
      <w:r w:rsidRPr="00140159">
        <w:rPr>
          <w:rFonts w:ascii="仿宋_GB2312" w:eastAsia="仿宋_GB2312" w:hint="eastAsia"/>
          <w:sz w:val="28"/>
          <w:szCs w:val="28"/>
        </w:rPr>
        <w:t>及住宿费。</w:t>
      </w:r>
      <w:r w:rsidR="00A470EC" w:rsidRPr="00140159">
        <w:rPr>
          <w:rFonts w:ascii="仿宋_GB2312" w:eastAsia="仿宋_GB2312" w:hint="eastAsia"/>
          <w:sz w:val="28"/>
          <w:szCs w:val="28"/>
        </w:rPr>
        <w:t>申请高雄大学</w:t>
      </w:r>
      <w:r w:rsidR="00262C60">
        <w:rPr>
          <w:rFonts w:ascii="仿宋_GB2312" w:eastAsia="仿宋_GB2312" w:hint="eastAsia"/>
          <w:sz w:val="28"/>
          <w:szCs w:val="28"/>
        </w:rPr>
        <w:t>、义守大学</w:t>
      </w:r>
      <w:r w:rsidR="00A470EC" w:rsidRPr="00140159">
        <w:rPr>
          <w:rFonts w:ascii="仿宋_GB2312" w:eastAsia="仿宋_GB2312" w:hint="eastAsia"/>
          <w:sz w:val="28"/>
          <w:szCs w:val="28"/>
        </w:rPr>
        <w:t>的学生</w:t>
      </w:r>
      <w:r w:rsidR="00140159">
        <w:rPr>
          <w:rFonts w:ascii="仿宋_GB2312" w:eastAsia="仿宋_GB2312" w:hint="eastAsia"/>
          <w:sz w:val="28"/>
          <w:szCs w:val="28"/>
        </w:rPr>
        <w:t>需</w:t>
      </w:r>
      <w:r w:rsidR="00140159" w:rsidRPr="004D7705">
        <w:rPr>
          <w:rFonts w:ascii="仿宋_GB2312" w:eastAsia="仿宋_GB2312" w:hint="eastAsia"/>
          <w:sz w:val="28"/>
          <w:szCs w:val="28"/>
        </w:rPr>
        <w:t>在</w:t>
      </w:r>
      <w:r w:rsidR="00140159">
        <w:rPr>
          <w:rFonts w:ascii="仿宋_GB2312" w:eastAsia="仿宋_GB2312" w:hint="eastAsia"/>
          <w:sz w:val="28"/>
          <w:szCs w:val="28"/>
        </w:rPr>
        <w:t>我校</w:t>
      </w:r>
      <w:r w:rsidR="00140159" w:rsidRPr="004D7705">
        <w:rPr>
          <w:rFonts w:ascii="仿宋_GB2312" w:eastAsia="仿宋_GB2312" w:hint="eastAsia"/>
          <w:sz w:val="28"/>
          <w:szCs w:val="28"/>
        </w:rPr>
        <w:t>注册及交纳学费</w:t>
      </w:r>
      <w:r w:rsidR="00140159">
        <w:rPr>
          <w:rFonts w:ascii="仿宋_GB2312" w:eastAsia="仿宋_GB2312" w:hint="eastAsia"/>
          <w:sz w:val="28"/>
          <w:szCs w:val="28"/>
        </w:rPr>
        <w:t>，不交住宿费；</w:t>
      </w:r>
      <w:r w:rsidR="00140159" w:rsidRPr="004D7705">
        <w:rPr>
          <w:rFonts w:ascii="仿宋_GB2312" w:eastAsia="仿宋_GB2312" w:hint="eastAsia"/>
          <w:sz w:val="28"/>
          <w:szCs w:val="28"/>
        </w:rPr>
        <w:t>无需再交纳对方学校的学费</w:t>
      </w:r>
      <w:r w:rsidR="004E2C26">
        <w:rPr>
          <w:rFonts w:ascii="仿宋_GB2312" w:eastAsia="仿宋_GB2312" w:hint="eastAsia"/>
          <w:sz w:val="28"/>
          <w:szCs w:val="28"/>
        </w:rPr>
        <w:t>，需交住宿费（大约2100—3200元人民币</w:t>
      </w:r>
      <w:r w:rsidR="00140159">
        <w:rPr>
          <w:rFonts w:ascii="仿宋_GB2312" w:eastAsia="仿宋_GB2312" w:hint="eastAsia"/>
          <w:sz w:val="28"/>
          <w:szCs w:val="28"/>
        </w:rPr>
        <w:t>）。</w:t>
      </w:r>
    </w:p>
    <w:p w:rsidR="00EE0FC9" w:rsidRPr="00BB6401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779C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学生在对方学校学习期间，自行承担交通费、书籍费、生活费、出入境手续费、</w:t>
      </w:r>
      <w:r w:rsidR="00B45F88">
        <w:rPr>
          <w:rFonts w:ascii="仿宋_GB2312" w:eastAsia="仿宋_GB2312" w:hint="eastAsia"/>
          <w:sz w:val="28"/>
          <w:szCs w:val="28"/>
        </w:rPr>
        <w:t>通行证</w:t>
      </w:r>
      <w:r>
        <w:rPr>
          <w:rFonts w:ascii="仿宋_GB2312" w:eastAsia="仿宋_GB2312" w:hint="eastAsia"/>
          <w:sz w:val="28"/>
          <w:szCs w:val="28"/>
        </w:rPr>
        <w:t>申请费、健康检查费、医疗与意外保险费等个人相关支出费用，</w:t>
      </w:r>
      <w:r w:rsidRPr="008A209F">
        <w:rPr>
          <w:rFonts w:ascii="仿宋_GB2312" w:eastAsia="仿宋_GB2312" w:hint="eastAsia"/>
          <w:sz w:val="28"/>
          <w:szCs w:val="28"/>
        </w:rPr>
        <w:t>折合人民币2万元左右</w:t>
      </w:r>
      <w:r w:rsidRPr="00834E59">
        <w:rPr>
          <w:rFonts w:ascii="仿宋_GB2312" w:eastAsia="仿宋_GB2312" w:hint="eastAsia"/>
          <w:sz w:val="28"/>
          <w:szCs w:val="28"/>
        </w:rPr>
        <w:t>。</w:t>
      </w:r>
    </w:p>
    <w:p w:rsidR="00EE0FC9" w:rsidRDefault="00EE0FC9" w:rsidP="001B0CDB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Pr="0013484F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学生</w:t>
      </w:r>
      <w:r w:rsidRPr="0013484F">
        <w:rPr>
          <w:rFonts w:ascii="仿宋_GB2312" w:eastAsia="仿宋_GB2312" w:hint="eastAsia"/>
          <w:b/>
          <w:sz w:val="28"/>
          <w:szCs w:val="28"/>
        </w:rPr>
        <w:t>选拔程序</w:t>
      </w:r>
    </w:p>
    <w:p w:rsidR="00EE0FC9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779C1">
        <w:rPr>
          <w:rFonts w:ascii="仿宋_GB2312" w:eastAsia="仿宋_GB2312" w:hint="eastAsia"/>
          <w:sz w:val="28"/>
          <w:szCs w:val="28"/>
        </w:rPr>
        <w:t>.</w:t>
      </w:r>
      <w:r w:rsidRPr="0065549E">
        <w:rPr>
          <w:rFonts w:ascii="仿宋_GB2312" w:eastAsia="仿宋_GB2312" w:hint="eastAsia"/>
          <w:sz w:val="28"/>
          <w:szCs w:val="28"/>
        </w:rPr>
        <w:t>有意参加</w:t>
      </w:r>
      <w:r>
        <w:rPr>
          <w:rFonts w:ascii="仿宋_GB2312" w:eastAsia="仿宋_GB2312" w:hint="eastAsia"/>
          <w:sz w:val="28"/>
          <w:szCs w:val="28"/>
        </w:rPr>
        <w:t>“交换生学习项目”的学生，请根据学校港澳台事务办公</w:t>
      </w:r>
      <w:r>
        <w:rPr>
          <w:rFonts w:ascii="仿宋_GB2312" w:eastAsia="仿宋_GB2312" w:hint="eastAsia"/>
          <w:sz w:val="28"/>
          <w:szCs w:val="28"/>
        </w:rPr>
        <w:lastRenderedPageBreak/>
        <w:t>室</w:t>
      </w:r>
      <w:r w:rsidR="00407524">
        <w:rPr>
          <w:rFonts w:ascii="仿宋_GB2312" w:eastAsia="仿宋_GB2312" w:hint="eastAsia"/>
          <w:sz w:val="28"/>
          <w:szCs w:val="28"/>
        </w:rPr>
        <w:t>、教务处</w:t>
      </w:r>
      <w:r>
        <w:rPr>
          <w:rFonts w:ascii="仿宋_GB2312" w:eastAsia="仿宋_GB2312" w:hint="eastAsia"/>
          <w:sz w:val="28"/>
          <w:szCs w:val="28"/>
        </w:rPr>
        <w:t>下达的通知要求，填写</w:t>
      </w:r>
      <w:r w:rsidR="00CC63C2">
        <w:rPr>
          <w:rFonts w:ascii="仿宋_GB2312" w:eastAsia="仿宋_GB2312" w:hint="eastAsia"/>
          <w:sz w:val="28"/>
          <w:szCs w:val="28"/>
        </w:rPr>
        <w:t>“</w:t>
      </w:r>
      <w:r w:rsidR="00CC63C2" w:rsidRPr="0065549E">
        <w:rPr>
          <w:rFonts w:ascii="仿宋_GB2312" w:eastAsia="仿宋_GB2312" w:hint="eastAsia"/>
          <w:sz w:val="28"/>
          <w:szCs w:val="28"/>
        </w:rPr>
        <w:t>山东理工大学</w:t>
      </w:r>
      <w:r w:rsidR="00CC63C2">
        <w:rPr>
          <w:rFonts w:ascii="仿宋_GB2312" w:eastAsia="仿宋_GB2312" w:hint="eastAsia"/>
          <w:sz w:val="28"/>
          <w:szCs w:val="28"/>
        </w:rPr>
        <w:t>交换生学习项目申请表”、“</w:t>
      </w:r>
      <w:r w:rsidR="00CC63C2" w:rsidRPr="00E70E3C">
        <w:rPr>
          <w:rFonts w:ascii="仿宋_GB2312" w:eastAsia="仿宋_GB2312" w:hint="eastAsia"/>
          <w:sz w:val="28"/>
          <w:szCs w:val="28"/>
        </w:rPr>
        <w:t>申请学生报名表</w:t>
      </w:r>
      <w:r w:rsidR="00CC63C2">
        <w:rPr>
          <w:rFonts w:ascii="仿宋_GB2312" w:eastAsia="仿宋_GB2312" w:hint="eastAsia"/>
          <w:sz w:val="28"/>
          <w:szCs w:val="28"/>
        </w:rPr>
        <w:t>”报至所在学院教学科</w:t>
      </w:r>
      <w:r w:rsidR="00CC63C2" w:rsidRPr="0065549E">
        <w:rPr>
          <w:rFonts w:ascii="仿宋_GB2312" w:eastAsia="仿宋_GB2312" w:hint="eastAsia"/>
          <w:sz w:val="28"/>
          <w:szCs w:val="28"/>
        </w:rPr>
        <w:t>。</w:t>
      </w:r>
    </w:p>
    <w:p w:rsidR="00EE0FC9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779C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经由所在学院</w:t>
      </w:r>
      <w:r w:rsidR="00F13743">
        <w:rPr>
          <w:rFonts w:ascii="仿宋_GB2312" w:eastAsia="仿宋_GB2312" w:hint="eastAsia"/>
          <w:sz w:val="28"/>
          <w:szCs w:val="28"/>
        </w:rPr>
        <w:t>审核</w:t>
      </w:r>
      <w:r>
        <w:rPr>
          <w:rFonts w:ascii="仿宋_GB2312" w:eastAsia="仿宋_GB2312" w:hint="eastAsia"/>
          <w:sz w:val="28"/>
          <w:szCs w:val="28"/>
        </w:rPr>
        <w:t>同意签章后，</w:t>
      </w:r>
      <w:r w:rsidR="00E70E3C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学院将</w:t>
      </w:r>
      <w:r w:rsidR="004454B0">
        <w:rPr>
          <w:rFonts w:ascii="仿宋_GB2312" w:eastAsia="仿宋_GB2312" w:hint="eastAsia"/>
          <w:sz w:val="28"/>
          <w:szCs w:val="28"/>
        </w:rPr>
        <w:t>“</w:t>
      </w:r>
      <w:r w:rsidR="004454B0" w:rsidRPr="0065549E">
        <w:rPr>
          <w:rFonts w:ascii="仿宋_GB2312" w:eastAsia="仿宋_GB2312" w:hint="eastAsia"/>
          <w:sz w:val="28"/>
          <w:szCs w:val="28"/>
        </w:rPr>
        <w:t>山东理工大学</w:t>
      </w:r>
      <w:r w:rsidR="004454B0">
        <w:rPr>
          <w:rFonts w:ascii="仿宋_GB2312" w:eastAsia="仿宋_GB2312" w:hint="eastAsia"/>
          <w:sz w:val="28"/>
          <w:szCs w:val="28"/>
        </w:rPr>
        <w:t>交换生学习项目申请表”和汇总的“</w:t>
      </w:r>
      <w:r w:rsidR="004454B0" w:rsidRPr="00E70E3C">
        <w:rPr>
          <w:rFonts w:ascii="仿宋_GB2312" w:eastAsia="仿宋_GB2312" w:hint="eastAsia"/>
          <w:sz w:val="28"/>
          <w:szCs w:val="28"/>
        </w:rPr>
        <w:t>申请学生报名表</w:t>
      </w:r>
      <w:r w:rsidR="004454B0">
        <w:rPr>
          <w:rFonts w:ascii="仿宋_GB2312" w:eastAsia="仿宋_GB2312" w:hint="eastAsia"/>
          <w:sz w:val="28"/>
          <w:szCs w:val="28"/>
        </w:rPr>
        <w:t>”，报</w:t>
      </w:r>
      <w:r>
        <w:rPr>
          <w:rFonts w:ascii="仿宋_GB2312" w:eastAsia="仿宋_GB2312" w:hint="eastAsia"/>
          <w:sz w:val="28"/>
          <w:szCs w:val="28"/>
        </w:rPr>
        <w:t>送至港澳台事务办公室</w:t>
      </w:r>
      <w:r w:rsidR="00E70E3C">
        <w:rPr>
          <w:rFonts w:ascii="仿宋_GB2312" w:eastAsia="仿宋_GB2312" w:hint="eastAsia"/>
          <w:sz w:val="28"/>
          <w:szCs w:val="28"/>
        </w:rPr>
        <w:t>，</w:t>
      </w:r>
      <w:r w:rsidR="00563C8E">
        <w:rPr>
          <w:rFonts w:ascii="仿宋_GB2312" w:eastAsia="仿宋_GB2312" w:hint="eastAsia"/>
          <w:sz w:val="28"/>
          <w:szCs w:val="28"/>
        </w:rPr>
        <w:t>电子版发至邮箱：</w:t>
      </w:r>
      <w:r w:rsidR="00563C8E" w:rsidRPr="00563C8E">
        <w:rPr>
          <w:rFonts w:ascii="仿宋_GB2312" w:eastAsia="仿宋_GB2312" w:hint="eastAsia"/>
          <w:sz w:val="28"/>
          <w:szCs w:val="28"/>
        </w:rPr>
        <w:t>dwtzb@sdut.edu.cn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E0FC9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779C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经港澳台事务办公室汇总与教务处审核</w:t>
      </w:r>
      <w:r w:rsidR="00283BE7">
        <w:rPr>
          <w:rFonts w:ascii="仿宋_GB2312" w:eastAsia="仿宋_GB2312" w:hint="eastAsia"/>
          <w:sz w:val="28"/>
          <w:szCs w:val="28"/>
        </w:rPr>
        <w:t>，</w:t>
      </w:r>
      <w:r w:rsidR="00563567">
        <w:rPr>
          <w:rFonts w:ascii="仿宋_GB2312" w:eastAsia="仿宋_GB2312" w:hint="eastAsia"/>
          <w:sz w:val="28"/>
          <w:szCs w:val="28"/>
        </w:rPr>
        <w:t>提出人选</w:t>
      </w:r>
      <w:r w:rsidR="00283BE7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报请</w:t>
      </w:r>
      <w:r w:rsidR="00563567">
        <w:rPr>
          <w:rFonts w:ascii="仿宋_GB2312" w:eastAsia="仿宋_GB2312" w:hint="eastAsia"/>
          <w:sz w:val="28"/>
          <w:szCs w:val="28"/>
        </w:rPr>
        <w:t>分管</w:t>
      </w:r>
      <w:r>
        <w:rPr>
          <w:rFonts w:ascii="仿宋_GB2312" w:eastAsia="仿宋_GB2312" w:hint="eastAsia"/>
          <w:sz w:val="28"/>
          <w:szCs w:val="28"/>
        </w:rPr>
        <w:t>校领导同意后</w:t>
      </w:r>
      <w:r w:rsidR="00283BE7">
        <w:rPr>
          <w:rFonts w:ascii="仿宋_GB2312" w:eastAsia="仿宋_GB2312" w:hint="eastAsia"/>
          <w:sz w:val="28"/>
          <w:szCs w:val="28"/>
        </w:rPr>
        <w:t>，</w:t>
      </w:r>
      <w:r w:rsidR="00563567">
        <w:rPr>
          <w:rFonts w:ascii="仿宋_GB2312" w:eastAsia="仿宋_GB2312" w:hint="eastAsia"/>
          <w:sz w:val="28"/>
          <w:szCs w:val="28"/>
        </w:rPr>
        <w:t>在学校统战部网站公示5个工作日。公示期结束后，</w:t>
      </w:r>
      <w:r>
        <w:rPr>
          <w:rFonts w:ascii="仿宋_GB2312" w:eastAsia="仿宋_GB2312" w:hint="eastAsia"/>
          <w:sz w:val="28"/>
          <w:szCs w:val="28"/>
        </w:rPr>
        <w:t>通知</w:t>
      </w:r>
      <w:r w:rsidR="00563567">
        <w:rPr>
          <w:rFonts w:ascii="仿宋_GB2312" w:eastAsia="仿宋_GB2312" w:hint="eastAsia"/>
          <w:sz w:val="28"/>
          <w:szCs w:val="28"/>
        </w:rPr>
        <w:t>学院及</w:t>
      </w:r>
      <w:r>
        <w:rPr>
          <w:rFonts w:ascii="仿宋_GB2312" w:eastAsia="仿宋_GB2312" w:hint="eastAsia"/>
          <w:sz w:val="28"/>
          <w:szCs w:val="28"/>
        </w:rPr>
        <w:t>学生根据台湾学校具体要求准备入学申请材料，最终选取结果由台湾学校确定。</w:t>
      </w:r>
    </w:p>
    <w:p w:rsidR="00EE0FC9" w:rsidRPr="003A109B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D779C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港澳台事务办公室根据台湾学校的时间要求，通知被选取学生准备签证申请材料，</w:t>
      </w:r>
      <w:r w:rsidR="00563C8E">
        <w:rPr>
          <w:rFonts w:ascii="仿宋_GB2312" w:eastAsia="仿宋_GB2312" w:hint="eastAsia"/>
          <w:sz w:val="28"/>
          <w:szCs w:val="28"/>
        </w:rPr>
        <w:t>并</w:t>
      </w:r>
      <w:r w:rsidRPr="0013484F">
        <w:rPr>
          <w:rFonts w:ascii="仿宋_GB2312" w:eastAsia="仿宋_GB2312" w:hint="eastAsia"/>
          <w:sz w:val="28"/>
          <w:szCs w:val="28"/>
        </w:rPr>
        <w:t>协助学生办理签证手续。</w:t>
      </w:r>
    </w:p>
    <w:p w:rsidR="00EE0FC9" w:rsidRPr="001E56E4" w:rsidRDefault="00EE0FC9" w:rsidP="00EE0FC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D779C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学生在去台湾之前应根据学校相关规定办理离校手续，离校手续未办妥的，不能赴台。</w:t>
      </w:r>
    </w:p>
    <w:p w:rsidR="00EE0FC9" w:rsidRDefault="00EE0FC9" w:rsidP="001B0CDB">
      <w:pPr>
        <w:snapToGrid w:val="0"/>
        <w:spacing w:line="560" w:lineRule="exact"/>
        <w:ind w:firstLineChars="196" w:firstLine="549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Pr="0013484F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赴台学习专业及课程选择与学分认证</w:t>
      </w:r>
    </w:p>
    <w:p w:rsidR="00EE0FC9" w:rsidRDefault="00EE0FC9" w:rsidP="00EE0FC9">
      <w:pPr>
        <w:snapToGrid w:val="0"/>
        <w:spacing w:line="56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EA25AB">
        <w:rPr>
          <w:rFonts w:ascii="仿宋_GB2312" w:eastAsia="仿宋_GB2312" w:hint="eastAsia"/>
          <w:sz w:val="28"/>
          <w:szCs w:val="28"/>
        </w:rPr>
        <w:t>学生</w:t>
      </w:r>
      <w:r w:rsidR="00F04660">
        <w:rPr>
          <w:rFonts w:ascii="仿宋_GB2312" w:eastAsia="仿宋_GB2312" w:hint="eastAsia"/>
          <w:sz w:val="28"/>
          <w:szCs w:val="28"/>
        </w:rPr>
        <w:t>务必</w:t>
      </w:r>
      <w:r w:rsidRPr="00EA25AB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台湾</w:t>
      </w:r>
      <w:r w:rsidRPr="00EA25AB"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专业设置及课程开设</w:t>
      </w:r>
      <w:r w:rsidRPr="00EA25AB">
        <w:rPr>
          <w:rFonts w:ascii="仿宋_GB2312" w:eastAsia="仿宋_GB2312" w:hint="eastAsia"/>
          <w:sz w:val="28"/>
          <w:szCs w:val="28"/>
        </w:rPr>
        <w:t>情况</w:t>
      </w:r>
      <w:r w:rsidR="00F04660">
        <w:rPr>
          <w:rFonts w:ascii="仿宋_GB2312" w:eastAsia="仿宋_GB2312" w:hint="eastAsia"/>
          <w:sz w:val="28"/>
          <w:szCs w:val="28"/>
        </w:rPr>
        <w:t>，</w:t>
      </w:r>
      <w:r w:rsidRPr="00EA25AB">
        <w:rPr>
          <w:rFonts w:ascii="仿宋_GB2312" w:eastAsia="仿宋_GB2312" w:hint="eastAsia"/>
          <w:sz w:val="28"/>
          <w:szCs w:val="28"/>
        </w:rPr>
        <w:t>选择</w:t>
      </w:r>
      <w:r>
        <w:rPr>
          <w:rFonts w:ascii="仿宋_GB2312" w:eastAsia="仿宋_GB2312" w:hint="eastAsia"/>
          <w:sz w:val="28"/>
          <w:szCs w:val="28"/>
        </w:rPr>
        <w:t>修</w:t>
      </w:r>
      <w:r w:rsidRPr="00EA25AB">
        <w:rPr>
          <w:rFonts w:ascii="仿宋_GB2312" w:eastAsia="仿宋_GB2312" w:hint="eastAsia"/>
          <w:sz w:val="28"/>
          <w:szCs w:val="28"/>
        </w:rPr>
        <w:t>读与本人所学专业相同或相近的专业</w:t>
      </w:r>
      <w:r>
        <w:rPr>
          <w:rFonts w:ascii="仿宋_GB2312" w:eastAsia="仿宋_GB2312" w:hint="eastAsia"/>
          <w:sz w:val="28"/>
          <w:szCs w:val="28"/>
        </w:rPr>
        <w:t>课程，</w:t>
      </w:r>
      <w:r w:rsidR="00F04660" w:rsidRPr="00F04660">
        <w:rPr>
          <w:rFonts w:ascii="仿宋_GB2312" w:eastAsia="仿宋_GB2312" w:hint="eastAsia"/>
          <w:sz w:val="28"/>
          <w:szCs w:val="28"/>
        </w:rPr>
        <w:t>以避免返校后，学分不被承认情形发生</w:t>
      </w:r>
      <w:r w:rsidR="00F04660">
        <w:rPr>
          <w:rFonts w:ascii="仿宋_GB2312" w:eastAsia="仿宋_GB2312" w:hint="eastAsia"/>
          <w:sz w:val="28"/>
          <w:szCs w:val="28"/>
        </w:rPr>
        <w:t>。应</w:t>
      </w:r>
      <w:r>
        <w:rPr>
          <w:rFonts w:ascii="仿宋_GB2312" w:eastAsia="仿宋_GB2312" w:hint="eastAsia"/>
          <w:sz w:val="28"/>
          <w:szCs w:val="28"/>
        </w:rPr>
        <w:t>至少完成280学时的学习任务</w:t>
      </w:r>
      <w:r w:rsidR="00F04660">
        <w:rPr>
          <w:rFonts w:ascii="仿宋_GB2312" w:eastAsia="仿宋_GB2312" w:hint="eastAsia"/>
          <w:sz w:val="28"/>
          <w:szCs w:val="28"/>
        </w:rPr>
        <w:t>，</w:t>
      </w:r>
      <w:r w:rsidRPr="00EA25AB">
        <w:rPr>
          <w:rFonts w:ascii="仿宋_GB2312" w:eastAsia="仿宋_GB2312" w:hint="eastAsia"/>
          <w:sz w:val="28"/>
          <w:szCs w:val="28"/>
        </w:rPr>
        <w:t>完成</w:t>
      </w:r>
      <w:r>
        <w:rPr>
          <w:rFonts w:ascii="仿宋_GB2312" w:eastAsia="仿宋_GB2312" w:hint="eastAsia"/>
          <w:sz w:val="28"/>
          <w:szCs w:val="28"/>
        </w:rPr>
        <w:t>在台湾</w:t>
      </w:r>
      <w:r w:rsidRPr="00EA25AB">
        <w:rPr>
          <w:rFonts w:ascii="仿宋_GB2312" w:eastAsia="仿宋_GB2312" w:hint="eastAsia"/>
          <w:sz w:val="28"/>
          <w:szCs w:val="28"/>
        </w:rPr>
        <w:t>学校学习计划，通过考试取得相应学分的，</w:t>
      </w:r>
      <w:r>
        <w:rPr>
          <w:rFonts w:ascii="仿宋_GB2312" w:eastAsia="仿宋_GB2312" w:hint="eastAsia"/>
          <w:sz w:val="28"/>
          <w:szCs w:val="28"/>
        </w:rPr>
        <w:t>学校将根据台湾学校出具的学习证明及成绩单</w:t>
      </w:r>
      <w:r w:rsidRPr="00EA25AB">
        <w:rPr>
          <w:rFonts w:ascii="仿宋_GB2312" w:eastAsia="仿宋_GB2312" w:hint="eastAsia"/>
          <w:sz w:val="28"/>
          <w:szCs w:val="28"/>
        </w:rPr>
        <w:t>予以</w:t>
      </w:r>
      <w:r>
        <w:rPr>
          <w:rFonts w:ascii="仿宋_GB2312" w:eastAsia="仿宋_GB2312" w:hint="eastAsia"/>
          <w:sz w:val="28"/>
          <w:szCs w:val="28"/>
        </w:rPr>
        <w:t>学分</w:t>
      </w:r>
      <w:r w:rsidRPr="00EA25AB">
        <w:rPr>
          <w:rFonts w:ascii="仿宋_GB2312" w:eastAsia="仿宋_GB2312" w:hint="eastAsia"/>
          <w:sz w:val="28"/>
          <w:szCs w:val="28"/>
        </w:rPr>
        <w:t>认证。</w:t>
      </w:r>
    </w:p>
    <w:p w:rsidR="00EE0FC9" w:rsidRPr="00D221FA" w:rsidRDefault="00EE0FC9" w:rsidP="00EE0FC9">
      <w:pPr>
        <w:spacing w:line="560" w:lineRule="exact"/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九、台湾</w:t>
      </w:r>
      <w:r w:rsidRPr="0017552C">
        <w:rPr>
          <w:rFonts w:ascii="仿宋_GB2312" w:eastAsia="仿宋_GB2312" w:hint="eastAsia"/>
          <w:b/>
          <w:sz w:val="28"/>
          <w:szCs w:val="28"/>
        </w:rPr>
        <w:t>学校网址链接</w:t>
      </w:r>
    </w:p>
    <w:p w:rsidR="00EE0FC9" w:rsidRDefault="00D779C1" w:rsidP="00EE0FC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EE0FC9">
        <w:rPr>
          <w:rFonts w:ascii="仿宋_GB2312" w:eastAsia="仿宋_GB2312" w:hint="eastAsia"/>
          <w:sz w:val="28"/>
          <w:szCs w:val="28"/>
        </w:rPr>
        <w:t>高雄大学</w:t>
      </w:r>
    </w:p>
    <w:p w:rsidR="00EE0FC9" w:rsidRDefault="003B4A3A" w:rsidP="00EE0FC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EE0FC9">
        <w:rPr>
          <w:rFonts w:ascii="仿宋_GB2312" w:eastAsia="仿宋_GB2312" w:hint="eastAsia"/>
          <w:sz w:val="28"/>
          <w:szCs w:val="28"/>
        </w:rPr>
        <w:t>学校首页:</w:t>
      </w:r>
      <w:hyperlink r:id="rId8" w:history="1">
        <w:r w:rsidR="00EE0FC9" w:rsidRPr="0089466E">
          <w:rPr>
            <w:rFonts w:hint="eastAsia"/>
          </w:rPr>
          <w:t>http://www.nuk.edu.tw/</w:t>
        </w:r>
      </w:hyperlink>
    </w:p>
    <w:p w:rsidR="00EE0FC9" w:rsidRDefault="003B4A3A" w:rsidP="00EE0FC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EE0FC9">
        <w:rPr>
          <w:rFonts w:ascii="仿宋_GB2312" w:eastAsia="仿宋_GB2312" w:hint="eastAsia"/>
          <w:sz w:val="28"/>
          <w:szCs w:val="28"/>
        </w:rPr>
        <w:t>学院系所介绍:</w:t>
      </w:r>
      <w:hyperlink r:id="rId9" w:history="1">
        <w:r w:rsidR="00EE0FC9" w:rsidRPr="0089466E">
          <w:rPr>
            <w:rFonts w:hint="eastAsia"/>
          </w:rPr>
          <w:t>http://int</w:t>
        </w:r>
        <w:r w:rsidR="00EE0FC9" w:rsidRPr="0089466E">
          <w:rPr>
            <w:rFonts w:hint="eastAsia"/>
          </w:rPr>
          <w:t>r</w:t>
        </w:r>
        <w:r w:rsidR="00EE0FC9" w:rsidRPr="0089466E">
          <w:rPr>
            <w:rFonts w:hint="eastAsia"/>
          </w:rPr>
          <w:t>o.nuk.edu.tw/nuk/excellent01.htm</w:t>
        </w:r>
      </w:hyperlink>
    </w:p>
    <w:p w:rsidR="00EE0FC9" w:rsidRDefault="003B4A3A" w:rsidP="003B4A3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EE0FC9">
        <w:rPr>
          <w:rFonts w:ascii="仿宋_GB2312" w:eastAsia="仿宋_GB2312" w:hint="eastAsia"/>
          <w:sz w:val="28"/>
          <w:szCs w:val="28"/>
        </w:rPr>
        <w:t>学校课程查询：</w:t>
      </w:r>
      <w:hyperlink r:id="rId10" w:history="1">
        <w:r w:rsidR="00EE0FC9" w:rsidRPr="0089466E">
          <w:rPr>
            <w:rFonts w:hint="eastAsia"/>
          </w:rPr>
          <w:t>http://course.nuk.edu.t</w:t>
        </w:r>
        <w:r w:rsidR="00EE0FC9" w:rsidRPr="0089466E">
          <w:rPr>
            <w:rFonts w:hint="eastAsia"/>
          </w:rPr>
          <w:t>w</w:t>
        </w:r>
        <w:r w:rsidR="00EE0FC9" w:rsidRPr="0089466E">
          <w:rPr>
            <w:rFonts w:hint="eastAsia"/>
          </w:rPr>
          <w:t>/QueryCourse/QueryCourse.asp</w:t>
        </w:r>
      </w:hyperlink>
    </w:p>
    <w:p w:rsidR="00D779C1" w:rsidRDefault="00EE0FC9" w:rsidP="00D779C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 w:rsidR="00D779C1">
        <w:rPr>
          <w:rFonts w:ascii="仿宋_GB2312" w:eastAsia="仿宋_GB2312" w:hint="eastAsia"/>
          <w:sz w:val="28"/>
          <w:szCs w:val="28"/>
        </w:rPr>
        <w:t>.朝阳科技大学</w:t>
      </w:r>
    </w:p>
    <w:p w:rsidR="00EE0FC9" w:rsidRDefault="003B4A3A" w:rsidP="00D779C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D779C1">
        <w:rPr>
          <w:rFonts w:ascii="仿宋_GB2312" w:eastAsia="仿宋_GB2312" w:hint="eastAsia"/>
          <w:sz w:val="28"/>
          <w:szCs w:val="28"/>
        </w:rPr>
        <w:t>学校首页：</w:t>
      </w:r>
      <w:hyperlink r:id="rId11" w:history="1">
        <w:r w:rsidR="00D779C1" w:rsidRPr="0089466E">
          <w:t>http://web.cyut.</w:t>
        </w:r>
        <w:r w:rsidR="00D779C1" w:rsidRPr="0089466E">
          <w:t>e</w:t>
        </w:r>
        <w:r w:rsidR="00D779C1" w:rsidRPr="0089466E">
          <w:t>du.tw/</w:t>
        </w:r>
      </w:hyperlink>
    </w:p>
    <w:p w:rsidR="00522819" w:rsidRDefault="003B4A3A" w:rsidP="00522819">
      <w:pPr>
        <w:ind w:firstLineChars="200" w:firstLine="560"/>
        <w:jc w:val="left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1C1AA7">
        <w:rPr>
          <w:rFonts w:ascii="仿宋_GB2312" w:eastAsia="仿宋_GB2312" w:hint="eastAsia"/>
          <w:sz w:val="28"/>
          <w:szCs w:val="28"/>
        </w:rPr>
        <w:t>学院系</w:t>
      </w:r>
      <w:r w:rsidR="00522819">
        <w:rPr>
          <w:rFonts w:ascii="仿宋_GB2312" w:eastAsia="仿宋_GB2312" w:hint="eastAsia"/>
          <w:sz w:val="28"/>
          <w:szCs w:val="28"/>
        </w:rPr>
        <w:t>所介绍:</w:t>
      </w:r>
      <w:r w:rsidR="00522819" w:rsidRPr="00522819">
        <w:t xml:space="preserve"> </w:t>
      </w:r>
      <w:hyperlink r:id="rId12" w:history="1">
        <w:r w:rsidR="001C1AA7" w:rsidRPr="003B4A3A">
          <w:t>http://web.cyut.edu.tw/files/90-1000-52.php?Lang=zh-tw</w:t>
        </w:r>
      </w:hyperlink>
    </w:p>
    <w:p w:rsidR="001C1AA7" w:rsidRPr="001C1AA7" w:rsidRDefault="001C1AA7" w:rsidP="001C1AA7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3.义守大学</w:t>
      </w:r>
    </w:p>
    <w:p w:rsidR="003B4A3A" w:rsidRDefault="003B4A3A" w:rsidP="003B4A3A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1C1AA7" w:rsidRPr="009175E7">
        <w:rPr>
          <w:rFonts w:ascii="仿宋_GB2312" w:eastAsia="仿宋_GB2312" w:hint="eastAsia"/>
          <w:sz w:val="28"/>
          <w:szCs w:val="28"/>
        </w:rPr>
        <w:t>学校首页：</w:t>
      </w:r>
      <w:hyperlink r:id="rId13" w:history="1">
        <w:r w:rsidR="001C1AA7" w:rsidRPr="009175E7">
          <w:rPr>
            <w:rFonts w:ascii="仿宋_GB2312" w:eastAsia="仿宋_GB2312"/>
            <w:sz w:val="28"/>
            <w:szCs w:val="28"/>
          </w:rPr>
          <w:t>http://ww</w:t>
        </w:r>
        <w:r w:rsidR="001C1AA7" w:rsidRPr="009175E7">
          <w:rPr>
            <w:rFonts w:ascii="仿宋_GB2312" w:eastAsia="仿宋_GB2312"/>
            <w:sz w:val="28"/>
            <w:szCs w:val="28"/>
          </w:rPr>
          <w:t>w</w:t>
        </w:r>
        <w:r w:rsidR="001C1AA7" w:rsidRPr="009175E7">
          <w:rPr>
            <w:rFonts w:ascii="仿宋_GB2312" w:eastAsia="仿宋_GB2312"/>
            <w:sz w:val="28"/>
            <w:szCs w:val="28"/>
          </w:rPr>
          <w:t>.isu.edu.tw/</w:t>
        </w:r>
      </w:hyperlink>
    </w:p>
    <w:p w:rsidR="001C1AA7" w:rsidRPr="001C1AA7" w:rsidRDefault="003B4A3A" w:rsidP="003B4A3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1C1AA7" w:rsidRPr="001C1AA7">
        <w:rPr>
          <w:rFonts w:ascii="仿宋_GB2312" w:eastAsia="仿宋_GB2312" w:hint="eastAsia"/>
          <w:sz w:val="28"/>
          <w:szCs w:val="28"/>
        </w:rPr>
        <w:t>可选读</w:t>
      </w:r>
      <w:r>
        <w:rPr>
          <w:rFonts w:ascii="仿宋_GB2312" w:eastAsia="仿宋_GB2312" w:hint="eastAsia"/>
          <w:sz w:val="28"/>
          <w:szCs w:val="28"/>
        </w:rPr>
        <w:t>系所：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电机信息学院：资讯工程学系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、信息管理学系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、电机工程学系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、电子工程学系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、通讯工程学系。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理工学院：化学工程学系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生物技术与化学工程研究所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、机械与自动化工程学系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、材料科学与工程学系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、财务与计算数学系、土木与生态工程学系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管理学院：企业管理学系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、工业管理学系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、财务金融学系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、会计学系、公共政策与管理学系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、国际商务学系。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观光餐旅学院：餐旅管理学系、观光学系、休闲事业管理学系、厨艺学系。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语文学院：应用英语学系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、应用日语学系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传播与设计学院：大众传播学系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、电影电视学系、创意商品设计学系、数字多媒体设计学系。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 w:hint="eastAsia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医学院：护理学系、物理治疗学系、职能治疗学系、医学影像暨放射学系、生物科技学系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、营养学系、健康管理学系、生物医学</w:t>
      </w:r>
      <w:r w:rsidRPr="001C1AA7">
        <w:rPr>
          <w:rFonts w:ascii="仿宋_GB2312" w:eastAsia="仿宋_GB2312" w:hint="eastAsia"/>
          <w:sz w:val="28"/>
          <w:szCs w:val="28"/>
        </w:rPr>
        <w:lastRenderedPageBreak/>
        <w:t>工程学系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所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、医务管理学系。</w:t>
      </w:r>
    </w:p>
    <w:p w:rsidR="001C1AA7" w:rsidRPr="001C1AA7" w:rsidRDefault="001C1AA7" w:rsidP="001C1AA7">
      <w:pPr>
        <w:numPr>
          <w:ilvl w:val="0"/>
          <w:numId w:val="1"/>
        </w:numPr>
        <w:spacing w:beforeLines="50"/>
        <w:jc w:val="left"/>
        <w:rPr>
          <w:rFonts w:ascii="仿宋_GB2312" w:eastAsia="仿宋_GB2312" w:hint="eastAsia"/>
          <w:sz w:val="28"/>
          <w:szCs w:val="28"/>
        </w:rPr>
      </w:pPr>
      <w:r w:rsidRPr="001C1AA7">
        <w:rPr>
          <w:rFonts w:ascii="仿宋_GB2312" w:eastAsia="仿宋_GB2312" w:hint="eastAsia"/>
          <w:sz w:val="28"/>
          <w:szCs w:val="28"/>
        </w:rPr>
        <w:t>国际学院：国际企业经营学系、国际财务金融学系、国际观光餐旅学系、娱乐事业管理学系</w:t>
      </w:r>
      <w:r w:rsidRPr="001C1AA7">
        <w:rPr>
          <w:rFonts w:ascii="仿宋_GB2312" w:eastAsia="仿宋_GB2312"/>
          <w:sz w:val="28"/>
          <w:szCs w:val="28"/>
        </w:rPr>
        <w:t>(</w:t>
      </w:r>
      <w:r w:rsidRPr="001C1AA7">
        <w:rPr>
          <w:rFonts w:ascii="仿宋_GB2312" w:eastAsia="仿宋_GB2312" w:hint="eastAsia"/>
          <w:sz w:val="28"/>
          <w:szCs w:val="28"/>
        </w:rPr>
        <w:t>目前国际学院之外籍师资约占该院总专任师资七成，所有课程皆为英文授课</w:t>
      </w:r>
      <w:r w:rsidRPr="001C1AA7">
        <w:rPr>
          <w:rFonts w:ascii="仿宋_GB2312" w:eastAsia="仿宋_GB2312"/>
          <w:sz w:val="28"/>
          <w:szCs w:val="28"/>
        </w:rPr>
        <w:t>)</w:t>
      </w:r>
      <w:r w:rsidRPr="001C1AA7">
        <w:rPr>
          <w:rFonts w:ascii="仿宋_GB2312" w:eastAsia="仿宋_GB2312" w:hint="eastAsia"/>
          <w:sz w:val="28"/>
          <w:szCs w:val="28"/>
        </w:rPr>
        <w:t>。</w:t>
      </w:r>
    </w:p>
    <w:p w:rsidR="00EE0FC9" w:rsidRPr="003F25D8" w:rsidRDefault="00EE0FC9" w:rsidP="001B0CD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十、其它</w:t>
      </w:r>
      <w:r w:rsidRPr="003258EA">
        <w:rPr>
          <w:rFonts w:ascii="仿宋_GB2312" w:eastAsia="仿宋_GB2312" w:hint="eastAsia"/>
          <w:b/>
          <w:bCs/>
          <w:sz w:val="28"/>
          <w:szCs w:val="28"/>
        </w:rPr>
        <w:t>事项</w:t>
      </w:r>
      <w:r>
        <w:rPr>
          <w:rFonts w:ascii="仿宋_GB2312" w:eastAsia="仿宋_GB2312" w:hint="eastAsia"/>
          <w:b/>
          <w:bCs/>
          <w:sz w:val="28"/>
          <w:szCs w:val="28"/>
        </w:rPr>
        <w:t>说明</w:t>
      </w:r>
    </w:p>
    <w:p w:rsidR="00EE0FC9" w:rsidRPr="00465623" w:rsidRDefault="00EE0FC9" w:rsidP="00EE0FC9">
      <w:pPr>
        <w:snapToGrid w:val="0"/>
        <w:spacing w:line="56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BA64EF">
        <w:rPr>
          <w:rFonts w:ascii="仿宋_GB2312" w:eastAsia="仿宋_GB2312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“交换生学习项目”交换学习时间为一个学期，学生交换期满后回校办理相关复学手续。</w:t>
      </w:r>
    </w:p>
    <w:p w:rsidR="00EE0FC9" w:rsidRDefault="00EE0FC9" w:rsidP="00B05CF1">
      <w:pPr>
        <w:spacing w:line="360" w:lineRule="auto"/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BA64EF">
        <w:rPr>
          <w:rFonts w:ascii="仿宋_GB2312" w:eastAsia="仿宋_GB2312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“交换生学习项目”名单确定后，原则上不得退出，确有实际困难的，需要向港澳台事务办公室提出申请，经港澳台事务办公室与台湾有关学校协商许可后方可退出。无故退出的，不再有资格参加“交换生学习项目”计划。</w:t>
      </w:r>
    </w:p>
    <w:p w:rsidR="00402D73" w:rsidRPr="00B05CF1" w:rsidRDefault="00402D73" w:rsidP="00B05CF1">
      <w:pPr>
        <w:spacing w:line="360" w:lineRule="auto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3.未尽事宜按照</w:t>
      </w:r>
      <w:r w:rsidRPr="00402D73">
        <w:rPr>
          <w:rFonts w:ascii="仿宋_GB2312" w:eastAsia="仿宋_GB2312" w:hint="eastAsia"/>
          <w:sz w:val="28"/>
          <w:szCs w:val="28"/>
        </w:rPr>
        <w:t>《山东理工大学赴台交流交换学生管理规定》</w:t>
      </w:r>
      <w:r>
        <w:rPr>
          <w:rFonts w:ascii="仿宋_GB2312" w:eastAsia="仿宋_GB2312" w:hint="eastAsia"/>
          <w:sz w:val="28"/>
          <w:szCs w:val="28"/>
        </w:rPr>
        <w:t>执行。</w:t>
      </w:r>
    </w:p>
    <w:sectPr w:rsidR="00402D73" w:rsidRPr="00B05CF1" w:rsidSect="00EE0FC9">
      <w:headerReference w:type="default" r:id="rId14"/>
      <w:footerReference w:type="even" r:id="rId15"/>
      <w:footerReference w:type="default" r:id="rId16"/>
      <w:pgSz w:w="11906" w:h="16838"/>
      <w:pgMar w:top="1440" w:right="1106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3B" w:rsidRDefault="006B5B3B">
      <w:r>
        <w:separator/>
      </w:r>
    </w:p>
  </w:endnote>
  <w:endnote w:type="continuationSeparator" w:id="0">
    <w:p w:rsidR="006B5B3B" w:rsidRDefault="006B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05" w:rsidRDefault="001E4005" w:rsidP="00B227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4005" w:rsidRDefault="001E4005" w:rsidP="00EE0F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05" w:rsidRDefault="001E4005" w:rsidP="00CE19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0CDB">
      <w:rPr>
        <w:rStyle w:val="a6"/>
        <w:noProof/>
      </w:rPr>
      <w:t>4</w:t>
    </w:r>
    <w:r>
      <w:rPr>
        <w:rStyle w:val="a6"/>
      </w:rPr>
      <w:fldChar w:fldCharType="end"/>
    </w:r>
  </w:p>
  <w:p w:rsidR="001E4005" w:rsidRDefault="001E4005" w:rsidP="00EE0F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3B" w:rsidRDefault="006B5B3B">
      <w:r>
        <w:separator/>
      </w:r>
    </w:p>
  </w:footnote>
  <w:footnote w:type="continuationSeparator" w:id="0">
    <w:p w:rsidR="006B5B3B" w:rsidRDefault="006B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05" w:rsidRDefault="001E4005" w:rsidP="00EE0FC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7F40"/>
    <w:multiLevelType w:val="hybridMultilevel"/>
    <w:tmpl w:val="18F24E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FC9"/>
    <w:rsid w:val="000A33CC"/>
    <w:rsid w:val="000D3DB4"/>
    <w:rsid w:val="00140159"/>
    <w:rsid w:val="001A4B80"/>
    <w:rsid w:val="001B0CDB"/>
    <w:rsid w:val="001B137A"/>
    <w:rsid w:val="001C1AA7"/>
    <w:rsid w:val="001C2599"/>
    <w:rsid w:val="001E4005"/>
    <w:rsid w:val="00262C60"/>
    <w:rsid w:val="00267F55"/>
    <w:rsid w:val="00273929"/>
    <w:rsid w:val="002828D4"/>
    <w:rsid w:val="00283BE7"/>
    <w:rsid w:val="002E1E05"/>
    <w:rsid w:val="003777F2"/>
    <w:rsid w:val="003A5C8B"/>
    <w:rsid w:val="003A7EFF"/>
    <w:rsid w:val="003B4A3A"/>
    <w:rsid w:val="00402D73"/>
    <w:rsid w:val="00407524"/>
    <w:rsid w:val="00431CB7"/>
    <w:rsid w:val="00442962"/>
    <w:rsid w:val="004454B0"/>
    <w:rsid w:val="004B528A"/>
    <w:rsid w:val="004D4FA1"/>
    <w:rsid w:val="004D7705"/>
    <w:rsid w:val="004E2C26"/>
    <w:rsid w:val="00506F08"/>
    <w:rsid w:val="00522819"/>
    <w:rsid w:val="00523239"/>
    <w:rsid w:val="00563567"/>
    <w:rsid w:val="00563C8E"/>
    <w:rsid w:val="0059109E"/>
    <w:rsid w:val="005C6B67"/>
    <w:rsid w:val="005D11A6"/>
    <w:rsid w:val="00614849"/>
    <w:rsid w:val="00642653"/>
    <w:rsid w:val="00642A0C"/>
    <w:rsid w:val="00642E27"/>
    <w:rsid w:val="0067204A"/>
    <w:rsid w:val="006B5B3B"/>
    <w:rsid w:val="006F1798"/>
    <w:rsid w:val="00731506"/>
    <w:rsid w:val="0077453E"/>
    <w:rsid w:val="00786A69"/>
    <w:rsid w:val="007F76A4"/>
    <w:rsid w:val="00833D9E"/>
    <w:rsid w:val="008372D9"/>
    <w:rsid w:val="00856649"/>
    <w:rsid w:val="008648C4"/>
    <w:rsid w:val="008734C9"/>
    <w:rsid w:val="008938DF"/>
    <w:rsid w:val="0089466E"/>
    <w:rsid w:val="008A209F"/>
    <w:rsid w:val="008B5AE8"/>
    <w:rsid w:val="008C32F2"/>
    <w:rsid w:val="008E4701"/>
    <w:rsid w:val="008E5544"/>
    <w:rsid w:val="00903E7F"/>
    <w:rsid w:val="00916D1F"/>
    <w:rsid w:val="00935CA4"/>
    <w:rsid w:val="009B0224"/>
    <w:rsid w:val="009B3485"/>
    <w:rsid w:val="009F4604"/>
    <w:rsid w:val="00A06B22"/>
    <w:rsid w:val="00A21473"/>
    <w:rsid w:val="00A470EC"/>
    <w:rsid w:val="00AB0690"/>
    <w:rsid w:val="00AB3EF2"/>
    <w:rsid w:val="00AB7397"/>
    <w:rsid w:val="00AD0887"/>
    <w:rsid w:val="00B05CF1"/>
    <w:rsid w:val="00B22711"/>
    <w:rsid w:val="00B34A56"/>
    <w:rsid w:val="00B37182"/>
    <w:rsid w:val="00B4384D"/>
    <w:rsid w:val="00B45F88"/>
    <w:rsid w:val="00B63D0B"/>
    <w:rsid w:val="00BE5571"/>
    <w:rsid w:val="00C87E92"/>
    <w:rsid w:val="00CB7F95"/>
    <w:rsid w:val="00CC63C2"/>
    <w:rsid w:val="00CE1908"/>
    <w:rsid w:val="00D2220E"/>
    <w:rsid w:val="00D779C1"/>
    <w:rsid w:val="00DD0969"/>
    <w:rsid w:val="00DD36DF"/>
    <w:rsid w:val="00E374AF"/>
    <w:rsid w:val="00E420A6"/>
    <w:rsid w:val="00E577A5"/>
    <w:rsid w:val="00E70E3C"/>
    <w:rsid w:val="00EE0FC9"/>
    <w:rsid w:val="00F04660"/>
    <w:rsid w:val="00F13743"/>
    <w:rsid w:val="00FC4C16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F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E0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E0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EE0FC9"/>
    <w:rPr>
      <w:strike w:val="0"/>
      <w:dstrike w:val="0"/>
      <w:color w:val="3366CC"/>
      <w:u w:val="none"/>
      <w:effect w:val="none"/>
    </w:rPr>
  </w:style>
  <w:style w:type="character" w:styleId="a6">
    <w:name w:val="page number"/>
    <w:basedOn w:val="a0"/>
    <w:rsid w:val="00EE0FC9"/>
  </w:style>
  <w:style w:type="table" w:styleId="a7">
    <w:name w:val="Table Grid"/>
    <w:basedOn w:val="a1"/>
    <w:rsid w:val="00EE0F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563C8E"/>
    <w:rPr>
      <w:color w:val="800080"/>
      <w:u w:val="single"/>
    </w:rPr>
  </w:style>
  <w:style w:type="paragraph" w:customStyle="1" w:styleId="Default">
    <w:name w:val="Default"/>
    <w:rsid w:val="002E1E05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k.edu.tw/" TargetMode="External"/><Relationship Id="rId13" Type="http://schemas.openxmlformats.org/officeDocument/2006/relationships/hyperlink" Target="http://www.isu.edu.t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b.cyut.edu.tw/files/90-1000-52.php?Lang=zh-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cyut.edu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ourse.nuk.edu.tw/QueryCourse/QueryCours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o.nuk.edu.tw/nuk/excellent01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Links>
    <vt:vector size="36" baseType="variant"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3932202</vt:i4>
      </vt:variant>
      <vt:variant>
        <vt:i4>15</vt:i4>
      </vt:variant>
      <vt:variant>
        <vt:i4>0</vt:i4>
      </vt:variant>
      <vt:variant>
        <vt:i4>5</vt:i4>
      </vt:variant>
      <vt:variant>
        <vt:lpwstr>http://web.cyut.edu.tw/files/90-1000-52.php?Lang=zh-tw</vt:lpwstr>
      </vt:variant>
      <vt:variant>
        <vt:lpwstr/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http://web.cyut.edu.tw/</vt:lpwstr>
      </vt:variant>
      <vt:variant>
        <vt:lpwstr/>
      </vt:variant>
      <vt:variant>
        <vt:i4>1507405</vt:i4>
      </vt:variant>
      <vt:variant>
        <vt:i4>9</vt:i4>
      </vt:variant>
      <vt:variant>
        <vt:i4>0</vt:i4>
      </vt:variant>
      <vt:variant>
        <vt:i4>5</vt:i4>
      </vt:variant>
      <vt:variant>
        <vt:lpwstr>http://course.nuk.edu.tw/QueryCourse/QueryCourse.asp</vt:lpwstr>
      </vt:variant>
      <vt:variant>
        <vt:lpwstr/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>http://intro.nuk.edu.tw/nuk/excellent01.htm</vt:lpwstr>
      </vt:variant>
      <vt:variant>
        <vt:lpwstr/>
      </vt:variant>
      <vt:variant>
        <vt:i4>6619190</vt:i4>
      </vt:variant>
      <vt:variant>
        <vt:i4>3</vt:i4>
      </vt:variant>
      <vt:variant>
        <vt:i4>0</vt:i4>
      </vt:variant>
      <vt:variant>
        <vt:i4>5</vt:i4>
      </vt:variant>
      <vt:variant>
        <vt:lpwstr>http://www.nuk.edu.tw/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Administrator</cp:lastModifiedBy>
  <cp:revision>2</cp:revision>
  <dcterms:created xsi:type="dcterms:W3CDTF">2017-10-11T08:21:00Z</dcterms:created>
  <dcterms:modified xsi:type="dcterms:W3CDTF">2017-10-11T08:21:00Z</dcterms:modified>
</cp:coreProperties>
</file>